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“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常春藤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”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哥伦比亚大学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暑期海外课程项目选拔通知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各学院：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依据我校发展国际化教育的方针和校际合作协议，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暑期，</w:t>
      </w:r>
      <w:r>
        <w:rPr>
          <w:rFonts w:ascii="Calibri" w:hAnsi="Calibri" w:cs="Calibri"/>
          <w:szCs w:val="21"/>
        </w:rPr>
        <w:t>我校将继续选派指定名额的优秀在校本科生</w:t>
      </w:r>
      <w:r>
        <w:rPr>
          <w:rFonts w:hint="eastAsia" w:ascii="Calibri" w:hAnsi="Calibri" w:cs="Calibri"/>
          <w:szCs w:val="21"/>
        </w:rPr>
        <w:t>往常春藤名校美国</w:t>
      </w:r>
      <w:r>
        <w:rPr>
          <w:rFonts w:ascii="Calibri" w:hAnsi="Calibri" w:cs="Calibri"/>
          <w:b/>
          <w:szCs w:val="21"/>
        </w:rPr>
        <w:t>哥伦比亚大学</w:t>
      </w:r>
      <w:r>
        <w:rPr>
          <w:rFonts w:hint="eastAsia" w:ascii="Calibri" w:hAnsi="Calibri" w:cs="Calibri"/>
          <w:b/>
          <w:bCs/>
          <w:kern w:val="0"/>
          <w:szCs w:val="21"/>
        </w:rPr>
        <w:t>（Columbia University）</w:t>
      </w:r>
      <w:r>
        <w:rPr>
          <w:rFonts w:hint="eastAsia" w:ascii="Calibri" w:hAnsi="Calibri" w:cs="Calibri"/>
          <w:szCs w:val="21"/>
        </w:rPr>
        <w:t>，参加暑期海外课堂学习。2017年暑期选拔名额为10</w:t>
      </w:r>
      <w:r>
        <w:rPr>
          <w:rFonts w:hint="eastAsia" w:ascii="Calibri" w:hAnsi="Calibri" w:cs="Calibri"/>
          <w:szCs w:val="21"/>
          <w:highlight w:val="none"/>
        </w:rPr>
        <w:t>名，</w:t>
      </w:r>
      <w:r>
        <w:rPr>
          <w:rFonts w:hint="eastAsia" w:ascii="Calibri" w:hAnsi="Calibri" w:cs="Calibri"/>
          <w:szCs w:val="21"/>
        </w:rPr>
        <w:t>首批</w:t>
      </w:r>
      <w:r>
        <w:rPr>
          <w:rFonts w:ascii="Calibri" w:hAnsi="Calibri" w:cs="Calibri"/>
          <w:szCs w:val="21"/>
        </w:rPr>
        <w:t>报名截止日期为</w:t>
      </w:r>
      <w:r>
        <w:rPr>
          <w:rFonts w:hint="eastAsia" w:ascii="Calibri" w:hAnsi="Calibri" w:cs="Calibri"/>
          <w:szCs w:val="21"/>
        </w:rPr>
        <w:t>2017</w:t>
      </w:r>
      <w:r>
        <w:rPr>
          <w:rFonts w:ascii="Calibri" w:hAnsi="Calibri" w:cs="Calibri"/>
          <w:szCs w:val="21"/>
        </w:rPr>
        <w:t>年</w:t>
      </w:r>
      <w:r>
        <w:rPr>
          <w:rFonts w:hint="eastAsia" w:ascii="Calibri" w:hAnsi="Calibri" w:cs="Calibri"/>
          <w:szCs w:val="21"/>
        </w:rPr>
        <w:t>03</w:t>
      </w:r>
      <w:r>
        <w:rPr>
          <w:rFonts w:ascii="Calibri" w:hAnsi="Calibri" w:cs="Calibri"/>
          <w:szCs w:val="21"/>
        </w:rPr>
        <w:t>月</w:t>
      </w:r>
      <w:r>
        <w:rPr>
          <w:rFonts w:hint="eastAsia" w:ascii="Calibri" w:hAnsi="Calibri" w:cs="Calibri"/>
          <w:szCs w:val="21"/>
        </w:rPr>
        <w:t xml:space="preserve">31 </w:t>
      </w:r>
      <w:r>
        <w:rPr>
          <w:rFonts w:ascii="Calibri" w:hAnsi="Calibri" w:cs="Calibri"/>
          <w:szCs w:val="21"/>
        </w:rPr>
        <w:t>日。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项目介绍</w:t>
      </w:r>
    </w:p>
    <w:p>
      <w:pPr>
        <w:widowControl/>
        <w:spacing w:line="360" w:lineRule="auto"/>
        <w:ind w:left="51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1、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哥伦比亚大学简介</w:t>
      </w:r>
    </w:p>
    <w:p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/>
          <w:kern w:val="0"/>
          <w:szCs w:val="21"/>
        </w:rPr>
        <w:t>哥伦比亚大学</w:t>
      </w:r>
      <w:r>
        <w:rPr>
          <w:rFonts w:hint="eastAsia" w:asciiTheme="minorHAnsi" w:hAnsiTheme="minorHAnsi" w:cstheme="minorHAnsi"/>
          <w:kern w:val="0"/>
          <w:szCs w:val="21"/>
        </w:rPr>
        <w:t>美国历史最悠久的五所大学之一，与耶鲁、哈佛、普林斯顿、康乃尔等八所大学共同组成“常春藤联盟(Ivy League)”，成为世界顶尖学府的代名词。</w:t>
      </w:r>
      <w:r>
        <w:rPr>
          <w:rFonts w:asciiTheme="minorHAnsi" w:hAnsiTheme="minorHAnsi" w:cstheme="minorHAnsi"/>
          <w:kern w:val="0"/>
          <w:szCs w:val="21"/>
        </w:rPr>
        <w:t></w:t>
      </w:r>
      <w:r>
        <w:rPr>
          <w:rFonts w:asciiTheme="minorHAnsi" w:hAnsiTheme="minorHAnsi" w:cstheme="minorHAnsi"/>
          <w:kern w:val="0"/>
          <w:szCs w:val="21"/>
        </w:rPr>
        <w:tab/>
      </w:r>
      <w:r>
        <w:rPr>
          <w:rFonts w:hint="eastAsia" w:asciiTheme="minorHAnsi" w:hAnsiTheme="minorHAnsi" w:cstheme="minorHAnsi"/>
          <w:kern w:val="0"/>
          <w:szCs w:val="21"/>
        </w:rPr>
        <w:t>学校位于世界之都</w:t>
      </w:r>
      <w:r>
        <w:rPr>
          <w:rFonts w:asciiTheme="minorHAnsi" w:hAnsiTheme="minorHAnsi" w:cstheme="minorHAnsi"/>
          <w:kern w:val="0"/>
          <w:szCs w:val="21"/>
        </w:rPr>
        <w:t>--</w:t>
      </w:r>
      <w:r>
        <w:rPr>
          <w:rFonts w:hint="eastAsia" w:asciiTheme="minorHAnsi" w:hAnsiTheme="minorHAnsi" w:cstheme="minorHAnsi"/>
          <w:kern w:val="0"/>
          <w:szCs w:val="21"/>
        </w:rPr>
        <w:t>纽约曼哈顿，亦是奥巴马、胡适、徐志摩、李政道、蒙代尔、摩尔根等名人求学之地</w:t>
      </w:r>
      <w:r>
        <w:rPr>
          <w:rFonts w:asciiTheme="minorHAnsi" w:hAnsiTheme="minorHAnsi" w:cstheme="minorHAnsi"/>
          <w:kern w:val="0"/>
          <w:szCs w:val="21"/>
        </w:rPr>
        <w:t>。</w:t>
      </w:r>
      <w:r>
        <w:rPr>
          <w:rFonts w:hint="eastAsia" w:asciiTheme="minorHAnsi" w:hAnsiTheme="minorHAnsi" w:cstheme="minorHAnsi"/>
          <w:kern w:val="0"/>
          <w:szCs w:val="21"/>
        </w:rPr>
        <w:t>哥伦比亚的校友和教授中一共有83人获得过诺贝尔奖，包括奥巴马总统在内的三位美国总统是该校的毕业生。</w:t>
      </w:r>
    </w:p>
    <w:p>
      <w:pPr>
        <w:spacing w:line="360" w:lineRule="auto"/>
        <w:ind w:left="42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在201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《美国新闻与世界报道》发布的美国大学权威排名中，</w:t>
      </w:r>
      <w:r>
        <w:rPr>
          <w:rFonts w:asciiTheme="minorHAnsi" w:hAnsiTheme="minorHAnsi" w:eastAsiaTheme="majorEastAsia" w:cstheme="minorHAnsi"/>
          <w:szCs w:val="21"/>
        </w:rPr>
        <w:t>哥伦比亚大学在全美</w:t>
      </w:r>
    </w:p>
    <w:p>
      <w:pPr>
        <w:spacing w:line="360" w:lineRule="auto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4000多所高校综合排名第</w:t>
      </w:r>
      <w:r>
        <w:rPr>
          <w:rFonts w:hint="eastAsia" w:asciiTheme="minorHAnsi" w:hAnsiTheme="minorHAnsi" w:eastAsiaTheme="majorEastAsia" w:cstheme="minorHAnsi"/>
          <w:szCs w:val="21"/>
        </w:rPr>
        <w:t>5</w:t>
      </w:r>
      <w:r>
        <w:rPr>
          <w:rFonts w:asciiTheme="minorHAnsi" w:hAnsiTheme="minorHAnsi" w:eastAsiaTheme="majorEastAsia" w:cstheme="minorHAnsi"/>
          <w:szCs w:val="21"/>
        </w:rPr>
        <w:t>名；在</w:t>
      </w:r>
      <w:r>
        <w:rPr>
          <w:rFonts w:asciiTheme="minorHAnsi" w:hAnsiTheme="minorHAnsi" w:cstheme="minorHAnsi"/>
          <w:szCs w:val="21"/>
        </w:rPr>
        <w:t>上海交通大学发布的</w:t>
      </w:r>
      <w:r>
        <w:rPr>
          <w:rFonts w:asciiTheme="minorHAnsi" w:hAnsiTheme="minorHAnsi" w:eastAsiaTheme="majorEastAsia" w:cstheme="minorHAnsi"/>
          <w:szCs w:val="21"/>
        </w:rPr>
        <w:t>全球高校学术排名中，</w:t>
      </w:r>
      <w:r>
        <w:rPr>
          <w:rFonts w:hint="eastAsia" w:asciiTheme="minorHAnsi" w:hAnsiTheme="minorHAnsi" w:eastAsiaTheme="majorEastAsia" w:cstheme="minorHAnsi"/>
          <w:szCs w:val="21"/>
        </w:rPr>
        <w:t>哥伦比亚大学</w:t>
      </w:r>
      <w:r>
        <w:rPr>
          <w:rFonts w:asciiTheme="minorHAnsi" w:hAnsiTheme="minorHAnsi" w:eastAsiaTheme="majorEastAsia" w:cstheme="minorHAnsi"/>
          <w:szCs w:val="21"/>
        </w:rPr>
        <w:t>位于第</w:t>
      </w:r>
      <w:r>
        <w:rPr>
          <w:rFonts w:hint="eastAsia" w:asciiTheme="minorHAnsi" w:hAnsiTheme="minorHAnsi" w:eastAsiaTheme="majorEastAsia" w:cstheme="minorHAnsi"/>
          <w:szCs w:val="21"/>
        </w:rPr>
        <w:t>8</w:t>
      </w:r>
      <w:r>
        <w:rPr>
          <w:rFonts w:asciiTheme="minorHAnsi" w:hAnsiTheme="minorHAnsi" w:eastAsiaTheme="majorEastAsia" w:cstheme="minorHAnsi"/>
          <w:szCs w:val="21"/>
        </w:rPr>
        <w:t>名；在</w:t>
      </w:r>
      <w:r>
        <w:rPr>
          <w:rFonts w:asciiTheme="minorHAnsi" w:hAnsiTheme="minorHAnsi" w:cstheme="minorHAnsi"/>
          <w:szCs w:val="21"/>
        </w:rPr>
        <w:t>201</w:t>
      </w:r>
      <w:r>
        <w:rPr>
          <w:rFonts w:hint="eastAsia" w:asciiTheme="minorHAnsi" w:hAnsiTheme="minorHAnsi" w:cstheme="minorHAnsi"/>
          <w:szCs w:val="21"/>
        </w:rPr>
        <w:t>7 年</w:t>
      </w:r>
      <w:r>
        <w:rPr>
          <w:rFonts w:asciiTheme="minorHAnsi" w:hAnsiTheme="minorHAnsi" w:cstheme="minorHAnsi"/>
          <w:szCs w:val="21"/>
        </w:rPr>
        <w:t>Times世界大学排名中，</w:t>
      </w:r>
      <w:r>
        <w:rPr>
          <w:rFonts w:hint="eastAsia" w:asciiTheme="minorHAnsi" w:hAnsiTheme="minorHAnsi" w:cstheme="minorHAnsi"/>
          <w:szCs w:val="21"/>
        </w:rPr>
        <w:t>哥伦比亚大学</w:t>
      </w:r>
      <w:r>
        <w:rPr>
          <w:rFonts w:asciiTheme="minorHAnsi" w:hAnsiTheme="minorHAnsi" w:cstheme="minorHAnsi"/>
          <w:szCs w:val="21"/>
        </w:rPr>
        <w:t>位列第</w:t>
      </w:r>
      <w:r>
        <w:rPr>
          <w:rFonts w:asciiTheme="minorHAnsi" w:hAnsiTheme="minorHAnsi" w:eastAsiaTheme="majorEastAsia" w:cstheme="minorHAnsi"/>
          <w:szCs w:val="21"/>
        </w:rPr>
        <w:t>1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位。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2、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</w:t>
      </w:r>
      <w:r>
        <w:rPr>
          <w:rFonts w:asciiTheme="minorHAnsi" w:hAnsiTheme="minorHAnsi" w:eastAsiaTheme="majorEastAsia" w:cstheme="minorHAnsi"/>
          <w:b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szCs w:val="21"/>
        </w:rPr>
        <w:t>时间及专业方向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根据学习目标、英</w:t>
      </w:r>
      <w:r>
        <w:rPr>
          <w:rFonts w:hint="eastAsia" w:asciiTheme="minorHAnsi" w:hAnsiTheme="minorHAnsi" w:eastAsiaTheme="majorEastAsia" w:cstheme="minorHAnsi"/>
          <w:szCs w:val="21"/>
        </w:rPr>
        <w:t>语</w:t>
      </w:r>
      <w:r>
        <w:rPr>
          <w:rFonts w:asciiTheme="minorHAnsi" w:hAnsiTheme="minorHAnsi" w:eastAsiaTheme="majorEastAsia" w:cstheme="minorHAnsi"/>
          <w:szCs w:val="21"/>
        </w:rPr>
        <w:t>水平和专业背景的不同，</w:t>
      </w:r>
      <w:r>
        <w:rPr>
          <w:rFonts w:hint="eastAsia" w:asciiTheme="minorHAnsi" w:hAnsiTheme="minorHAnsi" w:eastAsiaTheme="majorEastAsia" w:cstheme="minorHAnsi"/>
          <w:szCs w:val="21"/>
        </w:rPr>
        <w:t>参加项目的学生可选报两类课程</w:t>
      </w:r>
      <w:r>
        <w:rPr>
          <w:rFonts w:asciiTheme="minorHAnsi" w:hAnsiTheme="minorHAnsi" w:eastAsiaTheme="majorEastAsia" w:cstheme="minorHAnsi"/>
          <w:szCs w:val="21"/>
        </w:rPr>
        <w:t>：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英语及美国文化课程（ALP）</w:t>
      </w:r>
      <w:r>
        <w:rPr>
          <w:rFonts w:hint="eastAsia" w:asciiTheme="minorHAnsi" w:hAnsiTheme="minorHAnsi" w:eastAsiaTheme="majorEastAsia" w:cstheme="minorHAnsi"/>
          <w:szCs w:val="21"/>
        </w:rPr>
        <w:t>、与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大学专业学分课程</w:t>
      </w:r>
      <w:r>
        <w:rPr>
          <w:rFonts w:hint="eastAsia" w:asciiTheme="minorHAnsi" w:hAnsiTheme="minorHAnsi" w:eastAsiaTheme="majorEastAsia" w:cstheme="minorHAnsi"/>
          <w:szCs w:val="21"/>
        </w:rPr>
        <w:t>。参加项目的学生与哥伦比亚大学在读学生混合编班，由哥伦比亚大学进行统一的学术管理与学术考核，获得哥伦比亚大学正式成绩单。我校参加海外课堂学习的同学，按规定完成全部课程，无违反对方学校校规校纪行为，各课程成绩合格者，可获得1学分的第二课堂学分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第一种：英语及美国文化课程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 xml:space="preserve">（ALP）（2017年6月19日-- 7月 14日）；或 2017年7月17日 </w:t>
      </w:r>
      <w:r>
        <w:rPr>
          <w:rFonts w:asciiTheme="minorHAnsi" w:hAnsiTheme="minorHAnsi" w:eastAsiaTheme="majorEastAsia" w:cstheme="minorHAnsi"/>
          <w:szCs w:val="21"/>
          <w:u w:val="single"/>
        </w:rPr>
        <w:t>–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 xml:space="preserve"> 8月11日，为期4周。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对于希望通过访学提高英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语</w:t>
      </w:r>
      <w:r>
        <w:rPr>
          <w:rFonts w:asciiTheme="minorHAnsi" w:hAnsiTheme="minorHAnsi" w:eastAsiaTheme="majorEastAsia" w:cstheme="minorHAnsi"/>
          <w:kern w:val="0"/>
          <w:szCs w:val="21"/>
        </w:rPr>
        <w:t>水平、了解美国社会、增进对不同文化的认识和理解、提高创新意识和国际意识的同学，</w:t>
      </w:r>
      <w:r>
        <w:rPr>
          <w:rFonts w:hint="eastAsia" w:asciiTheme="minorHAnsi" w:hAnsiTheme="minorHAnsi" w:eastAsiaTheme="majorEastAsia" w:cstheme="minorHAnsi"/>
          <w:szCs w:val="21"/>
        </w:rPr>
        <w:t>可申请</w:t>
      </w:r>
      <w:r>
        <w:rPr>
          <w:rFonts w:asciiTheme="minorHAnsi" w:hAnsiTheme="minorHAnsi" w:eastAsiaTheme="majorEastAsia" w:cstheme="minorHAnsi"/>
          <w:szCs w:val="21"/>
          <w:u w:val="single"/>
        </w:rPr>
        <w:t>英语及美国文化课程</w:t>
      </w:r>
      <w:r>
        <w:rPr>
          <w:rFonts w:asciiTheme="minorHAnsi" w:hAnsiTheme="minorHAnsi" w:eastAsiaTheme="majorEastAsia" w:cstheme="minorHAnsi"/>
          <w:szCs w:val="21"/>
        </w:rPr>
        <w:t>，通过</w:t>
      </w:r>
      <w:r>
        <w:rPr>
          <w:rFonts w:asciiTheme="minorHAnsi" w:hAnsiTheme="minorHAnsi" w:eastAsiaTheme="majorEastAsia" w:cstheme="minorHAnsi"/>
          <w:kern w:val="0"/>
          <w:szCs w:val="21"/>
        </w:rPr>
        <w:t>与来自世界各地的同学一起学习，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快速提高英语应用能力与沟通交流能力。哥伦比亚大学ALP成立于1911年，是全美最古老的语言中心。课程内容丰富、形式多样，</w:t>
      </w:r>
      <w:r>
        <w:rPr>
          <w:rFonts w:asciiTheme="minorHAnsi" w:hAnsiTheme="minorHAnsi" w:eastAsiaTheme="majorEastAsia" w:cstheme="minorHAnsi"/>
          <w:szCs w:val="21"/>
        </w:rPr>
        <w:t>以</w:t>
      </w:r>
      <w:r>
        <w:rPr>
          <w:rFonts w:hint="eastAsia" w:asciiTheme="minorHAnsi" w:hAnsiTheme="minorHAnsi" w:eastAsiaTheme="majorEastAsia" w:cstheme="minorHAnsi"/>
          <w:szCs w:val="21"/>
        </w:rPr>
        <w:t>分级小班授课、</w:t>
      </w:r>
      <w:r>
        <w:rPr>
          <w:rFonts w:asciiTheme="minorHAnsi" w:hAnsiTheme="minorHAnsi" w:eastAsiaTheme="majorEastAsia" w:cstheme="minorHAnsi"/>
          <w:szCs w:val="21"/>
        </w:rPr>
        <w:t>专题讲座、小组讨论</w:t>
      </w:r>
      <w:r>
        <w:rPr>
          <w:rFonts w:hint="eastAsia" w:asciiTheme="minorHAnsi" w:hAnsiTheme="minorHAnsi" w:eastAsiaTheme="majorEastAsia" w:cstheme="minorHAnsi"/>
          <w:szCs w:val="21"/>
        </w:rPr>
        <w:t>、</w:t>
      </w:r>
      <w:r>
        <w:rPr>
          <w:rFonts w:asciiTheme="minorHAnsi" w:hAnsiTheme="minorHAnsi" w:eastAsiaTheme="majorEastAsia" w:cstheme="minorHAnsi"/>
          <w:szCs w:val="21"/>
        </w:rPr>
        <w:t>校园文化实践、</w:t>
      </w:r>
      <w:r>
        <w:rPr>
          <w:rFonts w:hint="eastAsia" w:asciiTheme="minorHAnsi" w:hAnsiTheme="minorHAnsi" w:eastAsiaTheme="majorEastAsia" w:cstheme="minorHAnsi"/>
          <w:szCs w:val="21"/>
        </w:rPr>
        <w:t>参观当地机构、参加</w:t>
      </w:r>
      <w:r>
        <w:rPr>
          <w:rFonts w:asciiTheme="minorHAnsi" w:hAnsiTheme="minorHAnsi" w:eastAsiaTheme="majorEastAsia" w:cstheme="minorHAnsi"/>
          <w:szCs w:val="21"/>
        </w:rPr>
        <w:t>中美大学生交流活动等</w:t>
      </w:r>
      <w:r>
        <w:rPr>
          <w:rFonts w:hint="eastAsia" w:asciiTheme="minorHAnsi" w:hAnsiTheme="minorHAnsi" w:eastAsiaTheme="majorEastAsia" w:cstheme="minorHAnsi"/>
          <w:szCs w:val="21"/>
        </w:rPr>
        <w:t>各种</w:t>
      </w:r>
      <w:r>
        <w:rPr>
          <w:rFonts w:asciiTheme="minorHAnsi" w:hAnsiTheme="minorHAnsi" w:eastAsiaTheme="majorEastAsia" w:cstheme="minorHAnsi"/>
          <w:szCs w:val="21"/>
        </w:rPr>
        <w:t>形式</w:t>
      </w:r>
      <w:r>
        <w:rPr>
          <w:rFonts w:hint="eastAsia" w:asciiTheme="minorHAnsi" w:hAnsiTheme="minorHAnsi" w:eastAsiaTheme="majorEastAsia" w:cstheme="minorHAnsi"/>
          <w:szCs w:val="21"/>
        </w:rPr>
        <w:t>，强化训练学生的</w:t>
      </w:r>
      <w:r>
        <w:rPr>
          <w:rFonts w:asciiTheme="minorHAnsi" w:hAnsiTheme="minorHAnsi" w:eastAsiaTheme="majorEastAsia" w:cstheme="minorHAnsi"/>
          <w:szCs w:val="21"/>
        </w:rPr>
        <w:t>英语听说读写</w:t>
      </w:r>
      <w:r>
        <w:rPr>
          <w:rFonts w:hint="eastAsia" w:asciiTheme="minorHAnsi" w:hAnsiTheme="minorHAnsi" w:eastAsiaTheme="majorEastAsia" w:cstheme="minorHAnsi"/>
          <w:szCs w:val="21"/>
        </w:rPr>
        <w:t>能力、了解</w:t>
      </w:r>
      <w:r>
        <w:rPr>
          <w:rFonts w:asciiTheme="minorHAnsi" w:hAnsiTheme="minorHAnsi" w:eastAsiaTheme="majorEastAsia" w:cstheme="minorHAnsi"/>
          <w:szCs w:val="21"/>
        </w:rPr>
        <w:t>美国历史文化。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第二种：大学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专业</w:t>
      </w:r>
      <w:r>
        <w:rPr>
          <w:rFonts w:asciiTheme="minorHAnsi" w:hAnsiTheme="minorHAnsi" w:eastAsiaTheme="majorEastAsia" w:cstheme="minorHAnsi"/>
          <w:szCs w:val="21"/>
          <w:u w:val="single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 xml:space="preserve">（2017年7月3日 </w:t>
      </w:r>
      <w:r>
        <w:rPr>
          <w:rFonts w:asciiTheme="minorHAnsi" w:hAnsiTheme="minorHAnsi" w:eastAsiaTheme="majorEastAsia" w:cstheme="minorHAnsi"/>
          <w:szCs w:val="21"/>
          <w:u w:val="single"/>
        </w:rPr>
        <w:t>–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 xml:space="preserve"> 8月11日）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</w:t>
      </w:r>
      <w:r>
        <w:rPr>
          <w:rFonts w:hint="eastAsia" w:asciiTheme="minorHAnsi" w:hAnsiTheme="minorHAnsi" w:eastAsiaTheme="majorEastAsia" w:cstheme="minorHAnsi"/>
          <w:szCs w:val="21"/>
        </w:rPr>
        <w:t>本校、全美国际教育协会、以及哥伦比亚大学的共同</w:t>
      </w:r>
      <w:r>
        <w:rPr>
          <w:rFonts w:asciiTheme="minorHAnsi" w:hAnsiTheme="minorHAnsi" w:eastAsiaTheme="majorEastAsia" w:cstheme="minorHAnsi"/>
          <w:szCs w:val="21"/>
        </w:rPr>
        <w:t>选拔后，</w:t>
      </w:r>
      <w:r>
        <w:rPr>
          <w:rFonts w:hint="eastAsia" w:asciiTheme="minorHAnsi" w:hAnsiTheme="minorHAnsi" w:eastAsiaTheme="majorEastAsia" w:cstheme="minorHAnsi"/>
          <w:szCs w:val="21"/>
        </w:rPr>
        <w:t>可以与哥伦比亚大学</w:t>
      </w:r>
      <w:r>
        <w:rPr>
          <w:rFonts w:asciiTheme="minorHAnsi" w:hAnsiTheme="minorHAnsi" w:eastAsiaTheme="majorEastAsia" w:cstheme="minorHAnsi"/>
          <w:szCs w:val="21"/>
        </w:rPr>
        <w:t>本科学生一起学习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，符合学术条件的学生也可选修研究生课程。 大学学分课程面向本校大多数专业的学生，</w:t>
      </w: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学业后，</w:t>
      </w:r>
      <w:r>
        <w:rPr>
          <w:rFonts w:asciiTheme="minorHAnsi" w:hAnsiTheme="minorHAnsi" w:eastAsiaTheme="majorEastAsia" w:cstheme="minorHAnsi"/>
          <w:szCs w:val="21"/>
        </w:rPr>
        <w:t>获得哥伦比亚大学</w:t>
      </w:r>
      <w:r>
        <w:rPr>
          <w:rFonts w:hint="eastAsia" w:asciiTheme="minorHAnsi" w:hAnsiTheme="minorHAnsi" w:eastAsiaTheme="majorEastAsia" w:cstheme="minorHAnsi"/>
          <w:szCs w:val="21"/>
        </w:rPr>
        <w:t>的正式学分和</w:t>
      </w:r>
      <w:r>
        <w:rPr>
          <w:rFonts w:asciiTheme="minorHAnsi" w:hAnsiTheme="minorHAnsi" w:eastAsiaTheme="majorEastAsia" w:cstheme="minorHAnsi"/>
          <w:szCs w:val="21"/>
        </w:rPr>
        <w:t>成绩单</w:t>
      </w:r>
      <w:r>
        <w:rPr>
          <w:rFonts w:hint="eastAsia" w:asciiTheme="minorHAnsi" w:hAnsiTheme="minorHAnsi" w:eastAsiaTheme="majorEastAsia" w:cstheme="minorHAnsi"/>
          <w:szCs w:val="21"/>
        </w:rPr>
        <w:t>。学生在哥伦比亚大学期间学习两门课，获得6个哥伦比亚大学的学分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3、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（参照2016年费用标准预估，最终以哥伦比亚大学公布的2017年数额为准）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根据不同的课程学习方向，哥伦比亚大学访学项目的费用总额有所差异。学习ALP英语及美国文化课程的总费用约5,700美元（约合人民币39,900元），选修大学专业学分课程的总费用约13,940美元（约合人民币96,000元）。总费用包括学杂费、在读期间医疗保险、及项目设计与管理费，不含住宿费、生活费与机票。参加暑期海外课堂的学生有机会入住校内宿舍，数量有限，按报名与录取的先后顺序依次安排。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</w:p>
    <w:p>
      <w:pPr>
        <w:pStyle w:val="1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申请条件</w:t>
      </w:r>
    </w:p>
    <w:p>
      <w:pPr>
        <w:pStyle w:val="16"/>
        <w:widowControl/>
        <w:spacing w:line="360" w:lineRule="auto"/>
        <w:ind w:left="510" w:firstLine="0"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>
      <w:pPr>
        <w:pStyle w:val="16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pStyle w:val="16"/>
        <w:spacing w:line="360" w:lineRule="auto"/>
        <w:ind w:left="360" w:firstLine="0" w:firstLineChars="0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哥伦比亚大学</w:t>
      </w:r>
      <w:r>
        <w:rPr>
          <w:rFonts w:asciiTheme="minorHAnsi" w:hAnsiTheme="minorHAnsi" w:eastAsiaTheme="majorEastAsia" w:cstheme="minorHAnsi"/>
          <w:kern w:val="0"/>
          <w:szCs w:val="21"/>
        </w:rPr>
        <w:t>的访学学生接收能力，我校</w:t>
      </w:r>
      <w:r>
        <w:rPr>
          <w:rFonts w:hint="eastAsia" w:ascii="Calibri" w:hAnsi="Calibri" w:cs="Calibri"/>
          <w:szCs w:val="21"/>
        </w:rPr>
        <w:t>2017年暑期选拔名额为</w:t>
      </w:r>
      <w:r>
        <w:rPr>
          <w:rFonts w:hint="eastAsia" w:ascii="Calibri" w:hAnsi="Calibri" w:cs="Calibri"/>
          <w:szCs w:val="21"/>
          <w:highlight w:val="none"/>
        </w:rPr>
        <w:t>10名</w:t>
      </w:r>
      <w:r>
        <w:rPr>
          <w:rFonts w:asciiTheme="minorHAnsi" w:hAnsiTheme="minorHAnsi" w:eastAsiaTheme="majorEastAsia" w:cstheme="minorHAnsi"/>
          <w:kern w:val="0"/>
          <w:szCs w:val="21"/>
          <w:highlight w:val="none"/>
        </w:rPr>
        <w:t>。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全日制本科生，成绩优异、道德品质好，在校期间未受过纪律处分，身心健康，能顺利完成在美学习任务；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申请要求 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英语及美国文化课程学习</w:t>
      </w:r>
      <w:r>
        <w:rPr>
          <w:rFonts w:hint="eastAsia" w:asciiTheme="minorHAnsi" w:hAnsiTheme="minorHAnsi" w:eastAsiaTheme="majorEastAsia" w:cstheme="minorHAnsi"/>
          <w:szCs w:val="21"/>
        </w:rPr>
        <w:t>：具有良好的英语基础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大学</w:t>
      </w:r>
      <w:r>
        <w:rPr>
          <w:rFonts w:hint="eastAsia" w:asciiTheme="minorHAnsi" w:hAnsiTheme="minorHAnsi" w:eastAsiaTheme="majorEastAsia" w:cstheme="minorHAnsi"/>
          <w:szCs w:val="21"/>
        </w:rPr>
        <w:t>专业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 xml:space="preserve"> - A类课程：</w:t>
      </w:r>
      <w:r>
        <w:rPr>
          <w:rFonts w:asciiTheme="minorHAnsi" w:hAnsiTheme="minorHAnsi" w:eastAsiaTheme="majorEastAsia" w:cstheme="minorHAnsi"/>
          <w:szCs w:val="21"/>
        </w:rPr>
        <w:t>托福</w:t>
      </w:r>
      <w:r>
        <w:rPr>
          <w:rFonts w:hint="eastAsia" w:asciiTheme="minorHAnsi" w:hAnsiTheme="minorHAnsi" w:eastAsiaTheme="majorEastAsia" w:cstheme="minorHAnsi"/>
          <w:szCs w:val="21"/>
        </w:rPr>
        <w:t>10</w:t>
      </w:r>
      <w:r>
        <w:rPr>
          <w:rFonts w:asciiTheme="minorHAnsi" w:hAnsiTheme="minorHAnsi" w:eastAsiaTheme="majorEastAsia" w:cstheme="minorHAnsi"/>
          <w:szCs w:val="21"/>
        </w:rPr>
        <w:t>0，</w:t>
      </w:r>
      <w:r>
        <w:rPr>
          <w:rFonts w:hint="eastAsia" w:asciiTheme="minorHAnsi" w:hAnsiTheme="minorHAnsi" w:eastAsiaTheme="majorEastAsia" w:cstheme="minorHAnsi"/>
          <w:szCs w:val="21"/>
        </w:rPr>
        <w:t>或</w:t>
      </w:r>
      <w:r>
        <w:rPr>
          <w:rFonts w:asciiTheme="minorHAnsi" w:hAnsiTheme="minorHAnsi" w:eastAsiaTheme="majorEastAsia" w:cstheme="minorHAnsi"/>
          <w:szCs w:val="21"/>
        </w:rPr>
        <w:t>雅思</w:t>
      </w:r>
      <w:r>
        <w:rPr>
          <w:rFonts w:hint="eastAsia" w:asciiTheme="minorHAnsi" w:hAnsiTheme="minorHAnsi" w:eastAsiaTheme="majorEastAsia" w:cstheme="minorHAnsi"/>
          <w:szCs w:val="21"/>
        </w:rPr>
        <w:t>7</w:t>
      </w:r>
      <w:r>
        <w:rPr>
          <w:rFonts w:asciiTheme="minorHAnsi" w:hAnsiTheme="minorHAnsi" w:eastAsiaTheme="majorEastAsia" w:cstheme="minorHAnsi"/>
          <w:szCs w:val="21"/>
        </w:rPr>
        <w:t>.</w:t>
      </w:r>
      <w:r>
        <w:rPr>
          <w:rFonts w:hint="eastAsia" w:asciiTheme="minorHAnsi" w:hAnsiTheme="minorHAnsi" w:eastAsiaTheme="majorEastAsia" w:cstheme="minorHAnsi"/>
          <w:szCs w:val="21"/>
        </w:rPr>
        <w:t>0，GPA3.0（4分制）</w:t>
      </w:r>
      <w:r>
        <w:rPr>
          <w:rFonts w:asciiTheme="minorHAnsi" w:hAnsiTheme="minorHAnsi" w:eastAsiaTheme="majorEastAsia" w:cstheme="minorHAnsi"/>
          <w:szCs w:val="21"/>
        </w:rPr>
        <w:t>；</w:t>
      </w:r>
      <w:r>
        <w:rPr>
          <w:rFonts w:hint="eastAsia" w:asciiTheme="minorHAnsi" w:hAnsiTheme="minorHAnsi" w:eastAsiaTheme="majorEastAsia" w:cstheme="minorHAnsi"/>
          <w:szCs w:val="21"/>
        </w:rPr>
        <w:t>可选择两门专业课程；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大学专业学分课程 - B类课程：托福85-99，或雅思6.5，GPA3.0 （4分制）；必选一门Oral Communication口语交际课 + 一门数理类课程，具体咨询本校国际处老师或全美国际教育协会项目官员。 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通过全美国际教育协会的项目面试、哥伦比亚大学的学术审核、以及我校院系及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国际交流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与合作</w:t>
      </w:r>
      <w:r>
        <w:rPr>
          <w:rFonts w:hint="eastAsia" w:asciiTheme="minorHAnsi" w:hAnsiTheme="minorHAnsi" w:eastAsiaTheme="majorEastAsia" w:cstheme="minorHAnsi"/>
          <w:szCs w:val="21"/>
        </w:rPr>
        <w:t>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480" w:lineRule="exac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 xml:space="preserve">1、 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学生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下载</w:t>
      </w:r>
      <w:r>
        <w:rPr>
          <w:rFonts w:hint="eastAsia" w:asciiTheme="minorHAnsi" w:hAnsiTheme="minorHAnsi" w:eastAsiaTheme="majorEastAsia" w:cstheme="minorHAnsi"/>
          <w:szCs w:val="21"/>
        </w:rPr>
        <w:t>附件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《浙江传媒学院赴境外学习交流申请表》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填写并</w:t>
      </w:r>
      <w:r>
        <w:rPr>
          <w:rFonts w:hint="eastAsia" w:asciiTheme="minorHAnsi" w:hAnsiTheme="minorHAnsi" w:eastAsiaTheme="majorEastAsia" w:cstheme="minorHAnsi"/>
          <w:szCs w:val="21"/>
        </w:rPr>
        <w:t>打印后在所在学院盖章签字后交至国际交流与合作处（行政楼60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szCs w:val="21"/>
        </w:rPr>
        <w:t>）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2、 同时登录项目选拔管理机构 -- 全美国际教育协会网站www.usiea.org填写《美国名校访学2017-2018学年冬春项目报名表》，网上报名的时间决定录取的顺序和安排宿舍的顺序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hint="eastAsia" w:asciiTheme="minorHAnsi" w:hAnsiTheme="minorHAnsi" w:eastAsiaTheme="majorEastAsia" w:cstheme="minorHAnsi"/>
          <w:szCs w:val="21"/>
        </w:rPr>
        <w:t>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学生提交正式申请材料并缴纳项目费用，获得学校录取及签证后赴美学习</w:t>
      </w:r>
      <w:r>
        <w:rPr>
          <w:rFonts w:hint="eastAsia" w:ascii="Calibri" w:hAnsi="Calibri" w:cs="Calibri"/>
          <w:sz w:val="22"/>
        </w:rPr>
        <w:t>；</w:t>
      </w:r>
    </w:p>
    <w:p>
      <w:pPr>
        <w:numPr>
          <w:ilvl w:val="0"/>
          <w:numId w:val="4"/>
        </w:num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  <w:r>
        <w:rPr>
          <w:rFonts w:ascii="Calibri" w:hAnsi="Calibri" w:cs="Calibri"/>
          <w:b/>
          <w:sz w:val="22"/>
        </w:rPr>
        <w:t>首批项目申请截止日期</w:t>
      </w:r>
      <w:r>
        <w:rPr>
          <w:rFonts w:ascii="Calibri" w:hAnsi="Calibri" w:cs="Calibri"/>
          <w:sz w:val="22"/>
          <w:highlight w:val="none"/>
        </w:rPr>
        <w:t>：</w:t>
      </w:r>
      <w:r>
        <w:rPr>
          <w:rFonts w:hint="eastAsia" w:ascii="Calibri" w:hAnsi="Calibri" w:cs="Calibri"/>
          <w:sz w:val="22"/>
          <w:highlight w:val="none"/>
        </w:rPr>
        <w:t>2017年3月31日，</w:t>
      </w:r>
      <w:r>
        <w:rPr>
          <w:rFonts w:ascii="Calibri" w:hAnsi="Calibri" w:cs="Calibri"/>
          <w:sz w:val="22"/>
          <w:highlight w:val="none"/>
        </w:rPr>
        <w:t>额满即止</w:t>
      </w:r>
      <w:r>
        <w:rPr>
          <w:rFonts w:hint="eastAsia" w:ascii="Calibri" w:hAnsi="Calibri" w:cs="Calibri"/>
          <w:sz w:val="22"/>
          <w:highlight w:val="none"/>
        </w:rPr>
        <w:t>；</w:t>
      </w:r>
      <w:r>
        <w:rPr>
          <w:rFonts w:ascii="Calibri" w:hAnsi="Calibri" w:cs="Calibri"/>
          <w:sz w:val="22"/>
          <w:highlight w:val="none"/>
        </w:rPr>
        <w:t>如首批截止日到期仍有名额可根据实际情况安排补录</w:t>
      </w:r>
      <w:r>
        <w:rPr>
          <w:rFonts w:hint="eastAsia" w:ascii="Calibri" w:hAnsi="Calibri" w:cs="Calibri"/>
          <w:sz w:val="22"/>
          <w:highlight w:val="none"/>
        </w:rPr>
        <w:t>。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</w:p>
    <w:p>
      <w:pPr>
        <w:spacing w:line="360" w:lineRule="auto"/>
        <w:rPr>
          <w:rFonts w:ascii="宋体" w:hAnsi="宋体" w:cs="宋体"/>
          <w:kern w:val="0"/>
          <w:sz w:val="22"/>
        </w:rPr>
      </w:pPr>
      <w:r>
        <w:rPr>
          <w:rFonts w:ascii="宋体" w:hAnsi="宋体" w:cs="宋体"/>
          <w:bCs/>
          <w:kern w:val="0"/>
          <w:sz w:val="22"/>
        </w:rPr>
        <w:t>咨询电话：</w:t>
      </w:r>
      <w:r>
        <w:rPr>
          <w:rFonts w:ascii="宋体" w:hAnsi="宋体" w:cs="宋体"/>
          <w:kern w:val="0"/>
          <w:sz w:val="22"/>
        </w:rPr>
        <w:t>国际交流</w:t>
      </w:r>
      <w:r>
        <w:rPr>
          <w:rFonts w:hint="eastAsia" w:ascii="宋体" w:hAnsi="宋体" w:cs="宋体"/>
          <w:kern w:val="0"/>
          <w:sz w:val="22"/>
          <w:lang w:eastAsia="zh-CN"/>
        </w:rPr>
        <w:t>与合作处</w:t>
      </w:r>
      <w:r>
        <w:rPr>
          <w:rFonts w:hint="eastAsia" w:ascii="宋体" w:hAnsi="宋体" w:cs="宋体"/>
          <w:kern w:val="0"/>
          <w:sz w:val="22"/>
          <w:lang w:val="en-US" w:eastAsia="zh-CN"/>
        </w:rPr>
        <w:t xml:space="preserve"> 刘老师，0571-86832065</w:t>
      </w:r>
      <w:r>
        <w:rPr>
          <w:rFonts w:ascii="宋体" w:hAnsi="宋体" w:cs="宋体"/>
          <w:kern w:val="0"/>
          <w:sz w:val="22"/>
        </w:rPr>
        <w:t> </w:t>
      </w:r>
      <w:r>
        <w:rPr>
          <w:rFonts w:hint="eastAsia" w:ascii="宋体" w:hAnsi="宋体" w:cs="宋体"/>
          <w:kern w:val="0"/>
          <w:sz w:val="22"/>
          <w:lang w:val="en-US" w:eastAsia="zh-CN"/>
        </w:rPr>
        <w:t>赵老师 0571-86832084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 xml:space="preserve">全美国际教育协会咨询电话: </w:t>
      </w:r>
      <w:r>
        <w:rPr>
          <w:rFonts w:hint="eastAsia" w:ascii="Calibri" w:hAnsi="Calibri" w:cs="Calibri"/>
          <w:kern w:val="0"/>
          <w:sz w:val="22"/>
        </w:rPr>
        <w:t>李老师 15168206475</w:t>
      </w:r>
      <w:r>
        <w:rPr>
          <w:rFonts w:ascii="Calibri" w:hAnsi="Calibri" w:cs="Calibri"/>
          <w:kern w:val="0"/>
          <w:sz w:val="22"/>
        </w:rPr>
        <w:t>（周一至周五 9:00—18:00）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hint="eastAsia" w:ascii="Calibri" w:hAnsi="Calibri" w:cs="Calibri"/>
          <w:color w:val="0068B7"/>
          <w:kern w:val="0"/>
          <w:sz w:val="22"/>
        </w:rPr>
        <w:t>www.usiea.org</w:t>
      </w:r>
      <w:r>
        <w:rPr>
          <w:rFonts w:hint="eastAsia" w:ascii="Calibri" w:hAnsi="Calibri" w:cs="Calibri"/>
          <w:color w:val="0068B7"/>
          <w:kern w:val="0"/>
          <w:sz w:val="22"/>
        </w:rPr>
        <w:fldChar w:fldCharType="end"/>
      </w:r>
      <w:r>
        <w:rPr>
          <w:rFonts w:hint="eastAsia" w:ascii="Calibri" w:hAnsi="Calibri" w:cs="Calibri"/>
          <w:kern w:val="0"/>
          <w:sz w:val="22"/>
        </w:rPr>
        <w:t xml:space="preserve"> 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Calibri" w:hAnsi="Calibri" w:cs="Calibri"/>
          <w:kern w:val="0"/>
          <w:sz w:val="22"/>
        </w:rPr>
        <w:t>项目邮箱咨询：</w:t>
      </w:r>
      <w:r>
        <w:fldChar w:fldCharType="begin"/>
      </w:r>
      <w:r>
        <w:instrText xml:space="preserve"> HYPERLINK "mailto:visitcu@yeah.net" </w:instrText>
      </w:r>
      <w:r>
        <w:fldChar w:fldCharType="separate"/>
      </w:r>
      <w:r>
        <w:rPr>
          <w:rStyle w:val="10"/>
          <w:rFonts w:ascii="Calibri" w:hAnsi="Calibri" w:cs="Calibri"/>
          <w:kern w:val="0"/>
          <w:sz w:val="22"/>
        </w:rPr>
        <w:t>visit</w:t>
      </w:r>
      <w:r>
        <w:rPr>
          <w:rStyle w:val="10"/>
          <w:rFonts w:hint="eastAsia" w:ascii="Calibri" w:hAnsi="Calibri" w:cs="Calibri"/>
          <w:kern w:val="0"/>
          <w:sz w:val="22"/>
        </w:rPr>
        <w:t>cu</w:t>
      </w:r>
      <w:r>
        <w:rPr>
          <w:rStyle w:val="10"/>
          <w:rFonts w:ascii="Calibri" w:hAnsi="Calibri" w:cs="Calibri"/>
          <w:kern w:val="0"/>
          <w:sz w:val="22"/>
        </w:rPr>
        <w:t>@yeah.net</w:t>
      </w:r>
      <w:r>
        <w:rPr>
          <w:rStyle w:val="10"/>
          <w:rFonts w:ascii="Calibri" w:hAnsi="Calibri" w:cs="Calibri"/>
          <w:kern w:val="0"/>
          <w:sz w:val="22"/>
        </w:rPr>
        <w:fldChar w:fldCharType="end"/>
      </w:r>
      <w:r>
        <w:rPr>
          <w:rFonts w:ascii="Calibri" w:hAnsi="Calibri" w:cs="Calibri"/>
          <w:kern w:val="0"/>
          <w:sz w:val="22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bookmarkStart w:id="0" w:name="_GoBack"/>
      <w:bookmarkEnd w:id="0"/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atha">
    <w:panose1 w:val="020B0604020202020204"/>
    <w:charset w:val="00"/>
    <w:family w:val="roman"/>
    <w:pitch w:val="default"/>
    <w:sig w:usb0="00100003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6DC745D2"/>
    <w:multiLevelType w:val="multilevel"/>
    <w:tmpl w:val="6DC745D2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 w:asciiTheme="minorHAnsi" w:hAnsiTheme="minorHAnsi" w:cstheme="minorHAns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804196"/>
    <w:multiLevelType w:val="multilevel"/>
    <w:tmpl w:val="7A804196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A8F"/>
    <w:rsid w:val="00001149"/>
    <w:rsid w:val="000035D7"/>
    <w:rsid w:val="00010F31"/>
    <w:rsid w:val="000147FF"/>
    <w:rsid w:val="000169DD"/>
    <w:rsid w:val="00022AFD"/>
    <w:rsid w:val="000230BD"/>
    <w:rsid w:val="000236D2"/>
    <w:rsid w:val="00024C64"/>
    <w:rsid w:val="00025206"/>
    <w:rsid w:val="0003068E"/>
    <w:rsid w:val="00030A02"/>
    <w:rsid w:val="00031403"/>
    <w:rsid w:val="000362BD"/>
    <w:rsid w:val="000402B0"/>
    <w:rsid w:val="00041148"/>
    <w:rsid w:val="00041BDA"/>
    <w:rsid w:val="00044599"/>
    <w:rsid w:val="000519A2"/>
    <w:rsid w:val="0005389A"/>
    <w:rsid w:val="0006181E"/>
    <w:rsid w:val="00065242"/>
    <w:rsid w:val="000820F9"/>
    <w:rsid w:val="0009206E"/>
    <w:rsid w:val="000954F4"/>
    <w:rsid w:val="000A0A86"/>
    <w:rsid w:val="000A2A22"/>
    <w:rsid w:val="000A4030"/>
    <w:rsid w:val="000A5251"/>
    <w:rsid w:val="000B1A29"/>
    <w:rsid w:val="000C2F7C"/>
    <w:rsid w:val="000C3F5B"/>
    <w:rsid w:val="000C4E56"/>
    <w:rsid w:val="000C5C18"/>
    <w:rsid w:val="000C7F9A"/>
    <w:rsid w:val="000E1209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3686A"/>
    <w:rsid w:val="001378A2"/>
    <w:rsid w:val="00146AB9"/>
    <w:rsid w:val="00151E96"/>
    <w:rsid w:val="00167799"/>
    <w:rsid w:val="00170451"/>
    <w:rsid w:val="001738F0"/>
    <w:rsid w:val="00176F21"/>
    <w:rsid w:val="00182E04"/>
    <w:rsid w:val="001834A2"/>
    <w:rsid w:val="00186190"/>
    <w:rsid w:val="00192C0F"/>
    <w:rsid w:val="001A0C7A"/>
    <w:rsid w:val="001A281F"/>
    <w:rsid w:val="001A7D56"/>
    <w:rsid w:val="001B1730"/>
    <w:rsid w:val="001C1A51"/>
    <w:rsid w:val="001C6985"/>
    <w:rsid w:val="001D2D10"/>
    <w:rsid w:val="001D4042"/>
    <w:rsid w:val="001D4EF4"/>
    <w:rsid w:val="001E31D7"/>
    <w:rsid w:val="001E5D98"/>
    <w:rsid w:val="001F5524"/>
    <w:rsid w:val="00202030"/>
    <w:rsid w:val="00203BFF"/>
    <w:rsid w:val="002133F2"/>
    <w:rsid w:val="0021711E"/>
    <w:rsid w:val="00220E2D"/>
    <w:rsid w:val="0022214B"/>
    <w:rsid w:val="002274D9"/>
    <w:rsid w:val="00231B5A"/>
    <w:rsid w:val="00242260"/>
    <w:rsid w:val="002441C6"/>
    <w:rsid w:val="002449A1"/>
    <w:rsid w:val="00251642"/>
    <w:rsid w:val="00255140"/>
    <w:rsid w:val="00261406"/>
    <w:rsid w:val="00261C11"/>
    <w:rsid w:val="00271BC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6AEB"/>
    <w:rsid w:val="002C722D"/>
    <w:rsid w:val="002D04D0"/>
    <w:rsid w:val="002D76B2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712B"/>
    <w:rsid w:val="00321717"/>
    <w:rsid w:val="00321D5F"/>
    <w:rsid w:val="00333C15"/>
    <w:rsid w:val="00342D9D"/>
    <w:rsid w:val="00342E7E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B4151"/>
    <w:rsid w:val="003B669C"/>
    <w:rsid w:val="003B786E"/>
    <w:rsid w:val="003C6EF7"/>
    <w:rsid w:val="003D0F7B"/>
    <w:rsid w:val="003D0FE9"/>
    <w:rsid w:val="003D2BCE"/>
    <w:rsid w:val="003D4037"/>
    <w:rsid w:val="003D4529"/>
    <w:rsid w:val="003D4B46"/>
    <w:rsid w:val="003D5F48"/>
    <w:rsid w:val="003E01B3"/>
    <w:rsid w:val="003E3199"/>
    <w:rsid w:val="003F050A"/>
    <w:rsid w:val="003F059B"/>
    <w:rsid w:val="003F50D1"/>
    <w:rsid w:val="003F5F88"/>
    <w:rsid w:val="003F73EF"/>
    <w:rsid w:val="0041273F"/>
    <w:rsid w:val="00426325"/>
    <w:rsid w:val="00437101"/>
    <w:rsid w:val="00437A33"/>
    <w:rsid w:val="004421B1"/>
    <w:rsid w:val="00442AE1"/>
    <w:rsid w:val="004469A3"/>
    <w:rsid w:val="0045270B"/>
    <w:rsid w:val="00454C45"/>
    <w:rsid w:val="004624BE"/>
    <w:rsid w:val="00465A92"/>
    <w:rsid w:val="004679CE"/>
    <w:rsid w:val="00470270"/>
    <w:rsid w:val="00471CBF"/>
    <w:rsid w:val="00485AD1"/>
    <w:rsid w:val="004932B6"/>
    <w:rsid w:val="004946E0"/>
    <w:rsid w:val="00495E6D"/>
    <w:rsid w:val="004A1602"/>
    <w:rsid w:val="004A51A8"/>
    <w:rsid w:val="004B4D89"/>
    <w:rsid w:val="004B516E"/>
    <w:rsid w:val="004C0E26"/>
    <w:rsid w:val="004C343D"/>
    <w:rsid w:val="004C5277"/>
    <w:rsid w:val="004C6632"/>
    <w:rsid w:val="004D3884"/>
    <w:rsid w:val="004D498F"/>
    <w:rsid w:val="004D5BBA"/>
    <w:rsid w:val="004E0748"/>
    <w:rsid w:val="004E728E"/>
    <w:rsid w:val="004F0AAB"/>
    <w:rsid w:val="004F743F"/>
    <w:rsid w:val="004F7C1B"/>
    <w:rsid w:val="00500A8F"/>
    <w:rsid w:val="005060F9"/>
    <w:rsid w:val="00512BAE"/>
    <w:rsid w:val="005167D4"/>
    <w:rsid w:val="00520C0E"/>
    <w:rsid w:val="00522EAE"/>
    <w:rsid w:val="005250F2"/>
    <w:rsid w:val="00525703"/>
    <w:rsid w:val="005326B5"/>
    <w:rsid w:val="005339BB"/>
    <w:rsid w:val="00536F45"/>
    <w:rsid w:val="00537EE6"/>
    <w:rsid w:val="00547E75"/>
    <w:rsid w:val="0055315D"/>
    <w:rsid w:val="00555016"/>
    <w:rsid w:val="00556212"/>
    <w:rsid w:val="00563F7F"/>
    <w:rsid w:val="0057138A"/>
    <w:rsid w:val="00572B6E"/>
    <w:rsid w:val="005762B0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7A1"/>
    <w:rsid w:val="005C7CC0"/>
    <w:rsid w:val="005D0683"/>
    <w:rsid w:val="005E5A41"/>
    <w:rsid w:val="005E674A"/>
    <w:rsid w:val="005E6E17"/>
    <w:rsid w:val="005F6112"/>
    <w:rsid w:val="00606AA2"/>
    <w:rsid w:val="00606C4F"/>
    <w:rsid w:val="00617A76"/>
    <w:rsid w:val="00621ED0"/>
    <w:rsid w:val="00622238"/>
    <w:rsid w:val="00624494"/>
    <w:rsid w:val="00624BB2"/>
    <w:rsid w:val="00632329"/>
    <w:rsid w:val="00637AD1"/>
    <w:rsid w:val="006452B3"/>
    <w:rsid w:val="0066295A"/>
    <w:rsid w:val="00663035"/>
    <w:rsid w:val="00664055"/>
    <w:rsid w:val="00666CF9"/>
    <w:rsid w:val="00667457"/>
    <w:rsid w:val="00667A61"/>
    <w:rsid w:val="00670ED6"/>
    <w:rsid w:val="0067541F"/>
    <w:rsid w:val="00682105"/>
    <w:rsid w:val="006858D5"/>
    <w:rsid w:val="00687DBB"/>
    <w:rsid w:val="00696B1C"/>
    <w:rsid w:val="006A2B5F"/>
    <w:rsid w:val="006A72B8"/>
    <w:rsid w:val="006B1E37"/>
    <w:rsid w:val="006C2070"/>
    <w:rsid w:val="006D5B15"/>
    <w:rsid w:val="006D642C"/>
    <w:rsid w:val="00700EA9"/>
    <w:rsid w:val="0070255A"/>
    <w:rsid w:val="00705BEF"/>
    <w:rsid w:val="00706179"/>
    <w:rsid w:val="007113DD"/>
    <w:rsid w:val="0071430B"/>
    <w:rsid w:val="00720659"/>
    <w:rsid w:val="0072201D"/>
    <w:rsid w:val="007243E9"/>
    <w:rsid w:val="00733292"/>
    <w:rsid w:val="007423FD"/>
    <w:rsid w:val="00744DA4"/>
    <w:rsid w:val="007619AD"/>
    <w:rsid w:val="00762330"/>
    <w:rsid w:val="007640E0"/>
    <w:rsid w:val="007652B1"/>
    <w:rsid w:val="00770616"/>
    <w:rsid w:val="00772E22"/>
    <w:rsid w:val="00775505"/>
    <w:rsid w:val="00776AE1"/>
    <w:rsid w:val="00785C31"/>
    <w:rsid w:val="007970A2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E0C8A"/>
    <w:rsid w:val="007E2ACE"/>
    <w:rsid w:val="007E3816"/>
    <w:rsid w:val="007F262A"/>
    <w:rsid w:val="007F5700"/>
    <w:rsid w:val="00802548"/>
    <w:rsid w:val="00802957"/>
    <w:rsid w:val="00814AA6"/>
    <w:rsid w:val="00823ADD"/>
    <w:rsid w:val="008267EE"/>
    <w:rsid w:val="00827F45"/>
    <w:rsid w:val="0083050D"/>
    <w:rsid w:val="00832E9B"/>
    <w:rsid w:val="0084297C"/>
    <w:rsid w:val="008432ED"/>
    <w:rsid w:val="00843F7D"/>
    <w:rsid w:val="008450F3"/>
    <w:rsid w:val="0086227D"/>
    <w:rsid w:val="00863FEE"/>
    <w:rsid w:val="008653E0"/>
    <w:rsid w:val="00867B69"/>
    <w:rsid w:val="0088500C"/>
    <w:rsid w:val="0089014A"/>
    <w:rsid w:val="008902CF"/>
    <w:rsid w:val="008966E9"/>
    <w:rsid w:val="008B4A3B"/>
    <w:rsid w:val="008B56E5"/>
    <w:rsid w:val="008C1F77"/>
    <w:rsid w:val="008C53F5"/>
    <w:rsid w:val="008D3CFE"/>
    <w:rsid w:val="008D5E6C"/>
    <w:rsid w:val="008D7F16"/>
    <w:rsid w:val="008E4534"/>
    <w:rsid w:val="008E54DB"/>
    <w:rsid w:val="008F1045"/>
    <w:rsid w:val="008F3732"/>
    <w:rsid w:val="009018E4"/>
    <w:rsid w:val="00903BED"/>
    <w:rsid w:val="00905613"/>
    <w:rsid w:val="00905BF1"/>
    <w:rsid w:val="00913572"/>
    <w:rsid w:val="00914162"/>
    <w:rsid w:val="009171E7"/>
    <w:rsid w:val="00917A3B"/>
    <w:rsid w:val="0092087F"/>
    <w:rsid w:val="0092377F"/>
    <w:rsid w:val="00930DF7"/>
    <w:rsid w:val="00936821"/>
    <w:rsid w:val="0094276A"/>
    <w:rsid w:val="00942C75"/>
    <w:rsid w:val="009466E4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59F3"/>
    <w:rsid w:val="00996091"/>
    <w:rsid w:val="009A11C1"/>
    <w:rsid w:val="009A16FA"/>
    <w:rsid w:val="009A27F7"/>
    <w:rsid w:val="009A292D"/>
    <w:rsid w:val="009A4CAF"/>
    <w:rsid w:val="009A69B5"/>
    <w:rsid w:val="009B0D73"/>
    <w:rsid w:val="009B1848"/>
    <w:rsid w:val="009B3167"/>
    <w:rsid w:val="009C020C"/>
    <w:rsid w:val="009C17A4"/>
    <w:rsid w:val="009C35A3"/>
    <w:rsid w:val="009C5D67"/>
    <w:rsid w:val="009C7A2D"/>
    <w:rsid w:val="009C7CE4"/>
    <w:rsid w:val="009E4A3B"/>
    <w:rsid w:val="009F0653"/>
    <w:rsid w:val="009F7788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41AEC"/>
    <w:rsid w:val="00A5437F"/>
    <w:rsid w:val="00A623DF"/>
    <w:rsid w:val="00A67A48"/>
    <w:rsid w:val="00A67B5E"/>
    <w:rsid w:val="00A72E16"/>
    <w:rsid w:val="00A76003"/>
    <w:rsid w:val="00A76D78"/>
    <w:rsid w:val="00A82ED7"/>
    <w:rsid w:val="00A83140"/>
    <w:rsid w:val="00A843DA"/>
    <w:rsid w:val="00A84830"/>
    <w:rsid w:val="00A90B22"/>
    <w:rsid w:val="00AA2334"/>
    <w:rsid w:val="00AA4DC4"/>
    <w:rsid w:val="00AB05C6"/>
    <w:rsid w:val="00AB66D7"/>
    <w:rsid w:val="00AC266D"/>
    <w:rsid w:val="00AC32C6"/>
    <w:rsid w:val="00AD7BA1"/>
    <w:rsid w:val="00AF5247"/>
    <w:rsid w:val="00AF78C6"/>
    <w:rsid w:val="00AF7CB4"/>
    <w:rsid w:val="00B00961"/>
    <w:rsid w:val="00B12237"/>
    <w:rsid w:val="00B12F3C"/>
    <w:rsid w:val="00B24FF7"/>
    <w:rsid w:val="00B2543C"/>
    <w:rsid w:val="00B26192"/>
    <w:rsid w:val="00B40A66"/>
    <w:rsid w:val="00B50CF4"/>
    <w:rsid w:val="00B57B39"/>
    <w:rsid w:val="00B6632A"/>
    <w:rsid w:val="00B67C18"/>
    <w:rsid w:val="00B74F9C"/>
    <w:rsid w:val="00B801E0"/>
    <w:rsid w:val="00B83422"/>
    <w:rsid w:val="00B841C1"/>
    <w:rsid w:val="00B8765A"/>
    <w:rsid w:val="00B955B3"/>
    <w:rsid w:val="00BA15F6"/>
    <w:rsid w:val="00BB11A8"/>
    <w:rsid w:val="00BB2026"/>
    <w:rsid w:val="00BC3B43"/>
    <w:rsid w:val="00BC5535"/>
    <w:rsid w:val="00BC7E20"/>
    <w:rsid w:val="00BE02A7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1863"/>
    <w:rsid w:val="00C123C3"/>
    <w:rsid w:val="00C126DF"/>
    <w:rsid w:val="00C15DBB"/>
    <w:rsid w:val="00C25B78"/>
    <w:rsid w:val="00C2641C"/>
    <w:rsid w:val="00C444EA"/>
    <w:rsid w:val="00C50DF8"/>
    <w:rsid w:val="00C5114A"/>
    <w:rsid w:val="00C55BB5"/>
    <w:rsid w:val="00C64953"/>
    <w:rsid w:val="00C745E3"/>
    <w:rsid w:val="00C75C2E"/>
    <w:rsid w:val="00C766EF"/>
    <w:rsid w:val="00C773FC"/>
    <w:rsid w:val="00C807AA"/>
    <w:rsid w:val="00C80EE6"/>
    <w:rsid w:val="00C817A7"/>
    <w:rsid w:val="00C84AD6"/>
    <w:rsid w:val="00C861B2"/>
    <w:rsid w:val="00CA2A8B"/>
    <w:rsid w:val="00CA65E9"/>
    <w:rsid w:val="00CB4339"/>
    <w:rsid w:val="00CB6A55"/>
    <w:rsid w:val="00CC06D4"/>
    <w:rsid w:val="00CC1890"/>
    <w:rsid w:val="00CC480B"/>
    <w:rsid w:val="00CC6F76"/>
    <w:rsid w:val="00CC72C5"/>
    <w:rsid w:val="00CC7310"/>
    <w:rsid w:val="00CD332E"/>
    <w:rsid w:val="00CD41C2"/>
    <w:rsid w:val="00CE06FC"/>
    <w:rsid w:val="00CE4335"/>
    <w:rsid w:val="00D02906"/>
    <w:rsid w:val="00D03331"/>
    <w:rsid w:val="00D071AB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44541"/>
    <w:rsid w:val="00D50E81"/>
    <w:rsid w:val="00D634D8"/>
    <w:rsid w:val="00D63C2D"/>
    <w:rsid w:val="00D651FF"/>
    <w:rsid w:val="00D71DEB"/>
    <w:rsid w:val="00D73882"/>
    <w:rsid w:val="00D80609"/>
    <w:rsid w:val="00D82BB6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E3A6C"/>
    <w:rsid w:val="00DE78E8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50150"/>
    <w:rsid w:val="00E5049F"/>
    <w:rsid w:val="00E61308"/>
    <w:rsid w:val="00E61E70"/>
    <w:rsid w:val="00E67E38"/>
    <w:rsid w:val="00E76995"/>
    <w:rsid w:val="00E80E43"/>
    <w:rsid w:val="00E8311C"/>
    <w:rsid w:val="00E87A04"/>
    <w:rsid w:val="00E922B4"/>
    <w:rsid w:val="00E97970"/>
    <w:rsid w:val="00EA4003"/>
    <w:rsid w:val="00EB0151"/>
    <w:rsid w:val="00EB7ED2"/>
    <w:rsid w:val="00EC43C8"/>
    <w:rsid w:val="00ED3F02"/>
    <w:rsid w:val="00ED457C"/>
    <w:rsid w:val="00EE0B92"/>
    <w:rsid w:val="00EE0F0E"/>
    <w:rsid w:val="00EE68D2"/>
    <w:rsid w:val="00EF14B7"/>
    <w:rsid w:val="00EF44AD"/>
    <w:rsid w:val="00F011DD"/>
    <w:rsid w:val="00F014F8"/>
    <w:rsid w:val="00F057A1"/>
    <w:rsid w:val="00F13937"/>
    <w:rsid w:val="00F17267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6353"/>
    <w:rsid w:val="00FB32DE"/>
    <w:rsid w:val="00FB7A50"/>
    <w:rsid w:val="00FC0DF5"/>
    <w:rsid w:val="00FC3697"/>
    <w:rsid w:val="00FC44B5"/>
    <w:rsid w:val="00FC6127"/>
    <w:rsid w:val="00FC7A4D"/>
    <w:rsid w:val="00FD08A0"/>
    <w:rsid w:val="00FD2E42"/>
    <w:rsid w:val="00FD4AA6"/>
    <w:rsid w:val="00FE2B9E"/>
    <w:rsid w:val="00FE6555"/>
    <w:rsid w:val="00FF13BC"/>
    <w:rsid w:val="00FF51E1"/>
    <w:rsid w:val="0C7F3C92"/>
    <w:rsid w:val="10B85BFE"/>
    <w:rsid w:val="110A6E3A"/>
    <w:rsid w:val="27E216BE"/>
    <w:rsid w:val="29BB5691"/>
    <w:rsid w:val="32256EA8"/>
    <w:rsid w:val="41BC0A1A"/>
    <w:rsid w:val="4EBB0ED1"/>
    <w:rsid w:val="50DE2D23"/>
    <w:rsid w:val="684F7691"/>
    <w:rsid w:val="6F795E5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Hyperlink"/>
    <w:qFormat/>
    <w:uiPriority w:val="0"/>
    <w:rPr>
      <w:color w:val="0068B7"/>
      <w:u w:val="non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141"/>
    <w:qFormat/>
    <w:uiPriority w:val="0"/>
    <w:rPr>
      <w:sz w:val="21"/>
      <w:szCs w:val="21"/>
    </w:rPr>
  </w:style>
  <w:style w:type="character" w:customStyle="1" w:styleId="14">
    <w:name w:val="ztag pre"/>
    <w:basedOn w:val="8"/>
    <w:qFormat/>
    <w:uiPriority w:val="0"/>
  </w:style>
  <w:style w:type="character" w:customStyle="1" w:styleId="15">
    <w:name w:val="已访问的超链接1"/>
    <w:qFormat/>
    <w:uiPriority w:val="0"/>
    <w:rPr>
      <w:color w:val="800080"/>
      <w:u w:val="single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378</Words>
  <Characters>2157</Characters>
  <Lines>17</Lines>
  <Paragraphs>5</Paragraphs>
  <ScaleCrop>false</ScaleCrop>
  <LinksUpToDate>false</LinksUpToDate>
  <CharactersWithSpaces>2530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2016-12-16T02:47:00Z</dcterms:created>
  <dc:creator>全美国际教育协会</dc:creator>
  <cp:lastModifiedBy>Administrator</cp:lastModifiedBy>
  <cp:lastPrinted>2011-12-16T08:54:00Z</cp:lastPrinted>
  <dcterms:modified xsi:type="dcterms:W3CDTF">2017-01-12T06:09:21Z</dcterms:modified>
  <dc:title>加州大学河滨分校短期访学项目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